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Anchorage management RFP and scope of work template</w:t>
      </w:r>
    </w:p>
    <w:p>
      <w:r>
        <w:t>Use Part A to prepare a comparable request for proposals. Complete Part B only after scope, responsibilities and acceptance terms have been agreed. Replace bracketed fields, remove unused prompts and align requirement IDs with the editable response schedule.</w:t>
      </w:r>
    </w:p>
    <w:p>
      <w:pPr>
        <w:pStyle w:val="Heading2"/>
      </w:pPr>
      <w:r>
        <w:t>Part A Request for proposals</w:t>
      </w:r>
    </w:p>
    <w:p>
      <w:r>
        <w:t>Port or authority: [Enter name]</w:t>
        <w:br/>
        <w:t>Project owner: [Enter name and role]</w:t>
        <w:br/>
        <w:t>Procurement reference: [Enter reference]</w:t>
        <w:br/>
        <w:t>Issue date and version: [Enter date and version]</w:t>
        <w:br/>
        <w:t>Response deadline and time zone: [Enter deadline]</w:t>
        <w:br/>
        <w:t>Clarification channel and closing date: [Enter details]</w:t>
      </w:r>
    </w:p>
    <w:p>
      <w:pPr>
        <w:pStyle w:val="Heading2"/>
      </w:pPr>
      <w:r>
        <w:t>Purpose and operating context</w:t>
      </w:r>
    </w:p>
    <w:p>
      <w:r>
        <w:t>[Describe current requests, allocation, queues, occupancy, exceptions and reporting. State the operational problem, affected teams, expected operating volumes and the decisions this procurement must support.]</w:t>
      </w:r>
    </w:p>
    <w:p>
      <w:pPr>
        <w:pStyle w:val="Heading2"/>
      </w:pPr>
      <w:r>
        <w:t>Scope and constraints</w:t>
      </w:r>
    </w:p>
    <w:p>
      <w:r>
        <w:t>[List locations, zones, workflows and user groups in scope. State exclusions, deployment and connectivity constraints, data residency requirements, incumbent systems and responsibilities that remain with the authority or other suppliers.]</w:t>
      </w:r>
    </w:p>
    <w:p>
      <w:pPr>
        <w:pStyle w:val="Heading2"/>
      </w:pPr>
      <w:r>
        <w:t>Procurement controls</w:t>
      </w:r>
    </w:p>
    <w:p>
      <w:r>
        <w:t>[Specify the applicable procurement procedure, authorized decision makers, confidentiality handling, response format and treatment of late or incomplete submissions. Have the responsible procurement team approve these terms before issue.]</w:t>
      </w:r>
    </w:p>
    <w:p>
      <w:r>
        <w:t>Companion file: rfp-response-schedule.xlsx. Baseline IDs OPS01 to ACC06 align with requirements-checklist.xlsx. Add port-specific requirements without reusing an existing ID.</w:t>
      </w:r>
    </w:p>
    <w:p>
      <w:r>
        <w:br w:type="page"/>
      </w:r>
    </w:p>
    <w:p>
      <w:pPr>
        <w:pStyle w:val="Heading1"/>
      </w:pPr>
      <w:r>
        <w:t>RFP requirements and supplier response</w:t>
      </w:r>
    </w:p>
    <w:p>
      <w:pPr>
        <w:pStyle w:val="Heading2"/>
      </w:pPr>
      <w:r>
        <w:t>Workflow evidence</w:t>
      </w:r>
    </w:p>
    <w:p>
      <w:r>
        <w:t>Suppliers must explain how requests, approval, amendment, cancellation and release are represented. Requested position, approved allocation and observed position must remain distinguishable. Provide evidence for concurrent decisions, queue overrides, exception ownership and audit history against the applicable requirement IDs.</w:t>
      </w:r>
    </w:p>
    <w:p>
      <w:pPr>
        <w:pStyle w:val="Heading2"/>
      </w:pPr>
      <w:r>
        <w:t>Integration schedule</w:t>
      </w:r>
    </w:p>
    <w:p>
      <w:r>
        <w:t>[Attach the completed integration inventory.] For each connection, identify the source owner, interface, permitted reads and writes, matching keys, freshness rules, test access, monitoring and recovery responsibilities. Mark access that remains unconfirmed. Separate PCS exchanges from authority-reporting obligations through an MSW.</w:t>
      </w:r>
    </w:p>
    <w:p>
      <w:pPr>
        <w:pStyle w:val="Heading2"/>
      </w:pPr>
      <w:r>
        <w:t>Response classification</w:t>
      </w:r>
    </w:p>
    <w:p>
      <w:r>
        <w:t>For each requirement, classify the response as available capability, configuration, development, third-party work, unsupported or requiring clarification. Include the evidence reference, exclusions, dependencies, responsible party and proposed acceptance scenario. A roadmap statement must retain its delivery dependency and must not be presented as demonstrated capability.</w:t>
      </w:r>
    </w:p>
    <w:p>
      <w:pPr>
        <w:pStyle w:val="Heading2"/>
      </w:pPr>
      <w:r>
        <w:t>Delivery and security evidence</w:t>
      </w:r>
    </w:p>
    <w:p>
      <w:r>
        <w:t>Provide the proposed team, availability, subcontractor responsibilities, implementation stages, migration approach, training and support coverage. Respond to the security questionnaire with evidence scoped to the proposed deployment. Explain identity management, privileged access, audit retention, credential handling, recovery and exit arrangements.</w:t>
      </w:r>
    </w:p>
    <w:p>
      <w:pPr>
        <w:pStyle w:val="Heading2"/>
      </w:pPr>
      <w:r>
        <w:t>Bidder response fields</w:t>
      </w:r>
    </w:p>
    <w:p>
      <w:r>
        <w:t>Supplier legal name: [Enter]</w:t>
        <w:br/>
        <w:t>Response owner and contact: [Enter]</w:t>
        <w:br/>
        <w:t>Solution and deployment option: [Enter]</w:t>
        <w:br/>
        <w:t>Assumptions and exclusions register: [Attach reference]</w:t>
        <w:br/>
        <w:t>Evidence index and demonstration availability: [Attach reference]</w:t>
        <w:br/>
        <w:t>Third-party dependencies and access conditions: [Attach reference]</w:t>
      </w:r>
    </w:p>
    <w:p>
      <w:r>
        <w:br w:type="page"/>
      </w:r>
    </w:p>
    <w:p>
      <w:pPr>
        <w:pStyle w:val="Heading1"/>
      </w:pPr>
      <w:r>
        <w:t>RFP evaluation and commercial comparison</w:t>
      </w:r>
    </w:p>
    <w:p>
      <w:pPr>
        <w:pStyle w:val="Heading2"/>
      </w:pPr>
      <w:r>
        <w:t>Mandatory gates</w:t>
      </w:r>
    </w:p>
    <w:p>
      <w:r>
        <w:t>[Agree mandatory operational, security, interface, recovery and commercial gates before issuing the RFP.] A failed mandatory gate cannot be offset by a weighted score. Record unresolved evidence as pending and assign an owner for clarification.</w:t>
      </w:r>
    </w:p>
    <w:p>
      <w:pPr>
        <w:pStyle w:val="Heading2"/>
      </w:pPr>
      <w:r>
        <w:t>Scoring and demonstration</w:t>
      </w:r>
    </w:p>
    <w:p>
      <w:r>
        <w:t>Use vendor-evaluation-scorecard.xlsx to agree weights, evidence standards and assessors. Its sample weights are editable and must be frozen before demonstrations. Give shortlisted suppliers the same port-supplied scenarios. Record observed results separately from promised configuration or future development. Document moderation and conflicts of interest.</w:t>
      </w:r>
    </w:p>
    <w:p>
      <w:pPr>
        <w:pStyle w:val="Heading2"/>
      </w:pPr>
      <w:r>
        <w:t>Comparable price schedule</w:t>
      </w:r>
    </w:p>
    <w:p>
      <w:r>
        <w:t>[Require a common currency, tax treatment, price validity period and scope.] Separate implementation, interfaces, migration, testing, training and infrastructure from recurring hosting, GIS, data feeds, support and internal operating effort. State volume assumptions, escalation, optional items, renewal terms and exit costs. Avoid counting the same infrastructure or support cost twice.</w:t>
      </w:r>
    </w:p>
    <w:p>
      <w:pPr>
        <w:pStyle w:val="Heading2"/>
      </w:pPr>
      <w:r>
        <w:t>Acceptance and support proposal</w:t>
      </w:r>
    </w:p>
    <w:p>
      <w:r>
        <w:t>Require traceability from mandatory requirements to acceptance tests, named acceptance owners, defect gates, migration reconciliation and rollback conditions. Request support hours, severity definitions, response and restoration commitments, exclusions, monitoring responsibilities and evidence of recovery testing.</w:t>
      </w:r>
    </w:p>
    <w:p>
      <w:pPr>
        <w:pStyle w:val="Heading2"/>
      </w:pPr>
      <w:r>
        <w:t>Decision record</w:t>
      </w:r>
    </w:p>
    <w:p>
      <w:r>
        <w:t>Evaluation owner: [Enter]</w:t>
        <w:br/>
        <w:t>Mandatory gate disposition: [Enter]</w:t>
        <w:br/>
        <w:t>Weighted comparison and evidence: [Attach]</w:t>
        <w:br/>
        <w:t>Open conditions and owners: [Enter]</w:t>
        <w:br/>
        <w:t>Approval authority and decision date: [Enter]</w:t>
      </w:r>
    </w:p>
    <w:p>
      <w:r>
        <w:t>The evaluation record should explain selection or rejection using the published criteria. Keep requirement changes and bidder clarifications visible to the responsible procurement team.</w:t>
      </w:r>
    </w:p>
    <w:p>
      <w:r>
        <w:br w:type="page"/>
      </w:r>
    </w:p>
    <w:p>
      <w:pPr>
        <w:pStyle w:val="Heading1"/>
      </w:pPr>
      <w:r>
        <w:t>Part B Scope of work and responsibilities</w:t>
      </w:r>
    </w:p>
    <w:p>
      <w:r>
        <w:t>Complete this section with the selected supplier after procurement. It does not appoint a supplier or establish terms until the responsible parties approve the completed document.</w:t>
      </w:r>
    </w:p>
    <w:p>
      <w:pPr>
        <w:pStyle w:val="Heading2"/>
      </w:pPr>
      <w:r>
        <w:t>Parties and baseline</w:t>
      </w:r>
    </w:p>
    <w:p>
      <w:r>
        <w:t>Authority or customer: [Enter]</w:t>
        <w:br/>
        <w:t>Selected supplier: [Enter]</w:t>
        <w:br/>
        <w:t>Authorized representatives: [Enter]</w:t>
        <w:br/>
        <w:t>Baseline requirements version: [Enter]</w:t>
        <w:br/>
        <w:t>Start date and delivery assumptions: [Enter]</w:t>
      </w:r>
    </w:p>
    <w:p>
      <w:pPr>
        <w:pStyle w:val="Heading2"/>
      </w:pPr>
      <w:r>
        <w:t>Included and excluded work</w:t>
      </w:r>
    </w:p>
    <w:p>
      <w:r>
        <w:t>[Describe included workflows, locations, roles, interfaces, migration datasets and deployment environments. Identify configuration, custom development and third-party work separately. List exclusions and the party responsible for each excluded dependency.]</w:t>
      </w:r>
    </w:p>
    <w:p>
      <w:pPr>
        <w:pStyle w:val="Heading2"/>
      </w:pPr>
      <w:r>
        <w:t>Deliverables and milestones</w:t>
      </w:r>
    </w:p>
    <w:p>
      <w:r>
        <w:t>For each milestone, complete the following fields. Repeat the block for discovery, interface validation, pilot, acceptance and operational adoption as applicable.</w:t>
      </w:r>
    </w:p>
    <w:p>
      <w:r>
        <w:t>Milestone and deliverable ID: [Enter]</w:t>
        <w:br/>
        <w:t>Requirement IDs covered: [Enter]</w:t>
        <w:br/>
        <w:t>Supplier deliverable and evidence: [Enter]</w:t>
        <w:br/>
        <w:t>Port inputs and third-party dependencies: [Enter]</w:t>
        <w:br/>
        <w:t>Responsible delivery and acceptance owners: [Enter]</w:t>
        <w:br/>
        <w:t>Target date and prerequisite: [Enter]</w:t>
        <w:br/>
        <w:t>Acceptance condition and payment linkage: [Enter]</w:t>
      </w:r>
    </w:p>
    <w:p>
      <w:pPr>
        <w:pStyle w:val="Heading2"/>
      </w:pPr>
      <w:r>
        <w:t>Responsibility boundaries</w:t>
      </w:r>
    </w:p>
    <w:p>
      <w:r>
        <w:t>[Assign source access, operating policy, mapping approval, identity administration, interface monitoring, data cleansing, migration reconciliation, training and support ownership. Separate navigational authority from application recommendations and administrative workflows.]</w:t>
      </w:r>
    </w:p>
    <w:p>
      <w:r>
        <w:br w:type="page"/>
      </w:r>
    </w:p>
    <w:p>
      <w:pPr>
        <w:pStyle w:val="Heading1"/>
      </w:pPr>
      <w:r>
        <w:t>Scope of work acceptance and change control</w:t>
      </w:r>
    </w:p>
    <w:p>
      <w:pPr>
        <w:pStyle w:val="Heading2"/>
      </w:pPr>
      <w:r>
        <w:t>Acceptance method</w:t>
      </w:r>
    </w:p>
    <w:p>
      <w:r>
        <w:t>Link each deliverable to requirement IDs and test IDs in uat-acceptance-workbook.xlsx. Agree the test environment, representative data, concurrency, network conditions, devices and measured targets before execution. Record expected result, actual result, evidence, tester, date and defect reference.</w:t>
      </w:r>
    </w:p>
    <w:p>
      <w:pPr>
        <w:pStyle w:val="Heading2"/>
      </w:pPr>
      <w:r>
        <w:t>Defect and release gates</w:t>
      </w:r>
    </w:p>
    <w:p>
      <w:r>
        <w:t>[Define operational severities and the release decision.] Critical defects block sign-off. Any accepted major defect requires an authorized decision, workable mitigation, owner and resolution date. A test marked passed without evidence is not sufficient acceptance evidence. Retests must identify the corrected version and outcome.</w:t>
      </w:r>
    </w:p>
    <w:p>
      <w:pPr>
        <w:pStyle w:val="Heading2"/>
      </w:pPr>
      <w:r>
        <w:t>Migration and rollback</w:t>
      </w:r>
    </w:p>
    <w:p>
      <w:r>
        <w:t>[Define source snapshots, mapping rules, reconciliation checks, unresolved-record treatment, cutover window and rollback trigger. Assign the rollback decision and execution owners. Record how manual changes during the transition are reconciled.]</w:t>
      </w:r>
    </w:p>
    <w:p>
      <w:pPr>
        <w:pStyle w:val="Heading2"/>
      </w:pPr>
      <w:r>
        <w:t>Change request record</w:t>
      </w:r>
    </w:p>
    <w:p>
      <w:r>
        <w:t>Change ID and requester: [Enter]</w:t>
        <w:br/>
        <w:t>Reason and affected requirement IDs: [Enter]</w:t>
        <w:br/>
        <w:t>Scope, cost, schedule and support impact: [Enter]</w:t>
        <w:br/>
        <w:t>Security, data and acceptance-test impact: [Enter]</w:t>
        <w:br/>
        <w:t>Decision maker and decision date: [Enter]</w:t>
        <w:br/>
        <w:t>Approved baseline version: [Enter]</w:t>
      </w:r>
    </w:p>
    <w:p>
      <w:pPr>
        <w:pStyle w:val="Heading2"/>
      </w:pPr>
      <w:r>
        <w:t>Dependency control</w:t>
      </w:r>
    </w:p>
    <w:p>
      <w:r>
        <w:t>Maintain an open dependency register with owner, required date and consequence of delay. Unavailable feed access or third-party changes must remain explicit dependencies. Record approved changes before incorporating them into the delivery baseline.</w:t>
      </w:r>
    </w:p>
    <w:p>
      <w:r>
        <w:br w:type="page"/>
      </w:r>
    </w:p>
    <w:p>
      <w:pPr>
        <w:pStyle w:val="Heading1"/>
      </w:pPr>
      <w:r>
        <w:t>Scope of work support and handover</w:t>
      </w:r>
    </w:p>
    <w:p>
      <w:pPr>
        <w:pStyle w:val="Heading2"/>
      </w:pPr>
      <w:r>
        <w:t>Operating support</w:t>
      </w:r>
    </w:p>
    <w:p>
      <w:r>
        <w:t>[Specify support hours and time zone, severity definitions, response and restoration targets, escalation contacts and monitoring responsibilities. Distinguish application support from sensor, network and external-feed support. Define the transition from pilot support to standard service.]</w:t>
      </w:r>
    </w:p>
    <w:p>
      <w:pPr>
        <w:pStyle w:val="Heading2"/>
      </w:pPr>
      <w:r>
        <w:t>Recovery and continuity</w:t>
      </w:r>
    </w:p>
    <w:p>
      <w:r>
        <w:t>[Agree recovery point and recovery time objectives, backup ownership, restore testing and degraded-mode procedures. Include source loss, manual operations, reconciliation, failback and repeated failure during recovery where relevant.]</w:t>
      </w:r>
    </w:p>
    <w:p>
      <w:pPr>
        <w:pStyle w:val="Heading2"/>
      </w:pPr>
      <w:r>
        <w:t>Handover and exit</w:t>
      </w:r>
    </w:p>
    <w:p>
      <w:r>
        <w:t>[List operator and administrator training, configuration records, interface documentation, source and deployment materials where contracted, runbooks, credentials transfer, data export format, retention and deletion instructions, and transition assistance.]</w:t>
      </w:r>
    </w:p>
    <w:p>
      <w:pPr>
        <w:pStyle w:val="Heading2"/>
      </w:pPr>
      <w:r>
        <w:t>Commercial terms to finalize</w:t>
      </w:r>
    </w:p>
    <w:p>
      <w:r>
        <w:t>[Record agreed currency, taxes, milestones, payment conditions, recurring fees, license and data rights, warranty, change pricing, renewal and termination terms. Route contractual terms through the authorized procurement and legal review.]</w:t>
      </w:r>
    </w:p>
    <w:p>
      <w:pPr>
        <w:pStyle w:val="Heading2"/>
      </w:pPr>
      <w:r>
        <w:t>Acceptance record</w:t>
      </w:r>
    </w:p>
    <w:p>
      <w:r>
        <w:t>Accepted deliverables and versions: [Enter]</w:t>
        <w:br/>
        <w:t>Test evidence and readiness register: [Attach]</w:t>
        <w:br/>
        <w:t>Outstanding conditions and due dates: [Enter]</w:t>
        <w:br/>
        <w:t>Port acceptance owner and approval date: [Enter]</w:t>
        <w:br/>
        <w:t>Supplier representative and acknowledgement: [Enter]</w:t>
        <w:br/>
        <w:t>Operational handover date: [Enter]</w:t>
      </w:r>
    </w:p>
    <w:p>
      <w:r>
        <w:t>Related guidance: Anchorage RFP checklist B03, scope of work B18, vendor scorecard B04, integration checklist B11 and UAT checklist B13.</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